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B27A" w14:textId="77777777" w:rsidR="00B71BA1" w:rsidRPr="000D0E32" w:rsidRDefault="00B71BA1" w:rsidP="00B71BA1">
      <w:pPr>
        <w:pStyle w:val="NAZWASST"/>
      </w:pPr>
      <w:bookmarkStart w:id="0" w:name="_Toc58533518"/>
      <w:r w:rsidRPr="000D0E32">
        <w:t xml:space="preserve">D – </w:t>
      </w:r>
      <w:r>
        <w:t>0</w:t>
      </w:r>
      <w:r w:rsidRPr="00751323">
        <w:t>3.02.01a REGULACJA WYSOKOŚCIOWA</w:t>
      </w:r>
      <w:bookmarkEnd w:id="0"/>
    </w:p>
    <w:p w14:paraId="31CBAB1E" w14:textId="77777777" w:rsidR="00B71BA1" w:rsidRPr="000D0E32" w:rsidRDefault="00B71BA1" w:rsidP="00B71BA1">
      <w:r w:rsidRPr="000D0E32">
        <w:t>Kod CPV: 45111200-0</w:t>
      </w:r>
    </w:p>
    <w:p w14:paraId="6D706B99" w14:textId="77777777" w:rsidR="00B71BA1" w:rsidRPr="000D0E32" w:rsidRDefault="00B71BA1" w:rsidP="00B71BA1">
      <w:r w:rsidRPr="000D0E32">
        <w:t>Roboty w zakresie przygotowania terenu pod budowę i roboty ziemne</w:t>
      </w:r>
    </w:p>
    <w:p w14:paraId="0CDCB449" w14:textId="77777777" w:rsidR="00B71BA1" w:rsidRPr="000D0E32" w:rsidRDefault="00B71BA1" w:rsidP="00B71BA1">
      <w:pPr>
        <w:pStyle w:val="Nagwek1"/>
      </w:pPr>
      <w:r w:rsidRPr="000D0E32">
        <w:rPr>
          <w:lang w:val="pl-PL"/>
        </w:rPr>
        <w:t xml:space="preserve">1. </w:t>
      </w:r>
      <w:r w:rsidRPr="000D0E32">
        <w:t>wstęp</w:t>
      </w:r>
    </w:p>
    <w:p w14:paraId="09FD16FC" w14:textId="77777777" w:rsidR="00B71BA1" w:rsidRPr="000D0E32" w:rsidRDefault="00B71BA1" w:rsidP="00B71BA1">
      <w:pPr>
        <w:pStyle w:val="Nagwek2"/>
      </w:pPr>
      <w:r w:rsidRPr="000D0E32">
        <w:rPr>
          <w:lang w:val="pl-PL"/>
        </w:rPr>
        <w:t xml:space="preserve">1.1 </w:t>
      </w:r>
      <w:r w:rsidRPr="000D0E32">
        <w:t xml:space="preserve">Przedmiot </w:t>
      </w:r>
      <w:proofErr w:type="spellStart"/>
      <w:r w:rsidRPr="000D0E32">
        <w:t>STWiORB</w:t>
      </w:r>
      <w:proofErr w:type="spellEnd"/>
    </w:p>
    <w:p w14:paraId="4D677971" w14:textId="77777777" w:rsidR="00B71BA1" w:rsidRPr="000D0E32" w:rsidRDefault="00B71BA1" w:rsidP="00B71BA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0D0E32">
        <w:t xml:space="preserve">Przedmiotem niniejszej szczegółowej specyfikacji technicznej (SST) są wymagania dotyczące wykonania i odbioru robót związanych z wykonaniem </w:t>
      </w:r>
      <w:r>
        <w:t>regulacji wysokościowej urządzeń</w:t>
      </w:r>
      <w:r w:rsidRPr="000D0E32">
        <w:rPr>
          <w:rFonts w:eastAsia="Calibri"/>
          <w:szCs w:val="22"/>
          <w:lang w:eastAsia="en-US"/>
        </w:rPr>
        <w:t>.</w:t>
      </w:r>
    </w:p>
    <w:p w14:paraId="15AAD139" w14:textId="77777777" w:rsidR="00B71BA1" w:rsidRPr="000D0E32" w:rsidRDefault="00B71BA1" w:rsidP="00B71BA1">
      <w:pPr>
        <w:pStyle w:val="Nagwek2"/>
      </w:pPr>
      <w:r w:rsidRPr="000D0E32">
        <w:rPr>
          <w:lang w:val="pl-PL"/>
        </w:rPr>
        <w:t xml:space="preserve">1.2 </w:t>
      </w:r>
      <w:r w:rsidRPr="000D0E32">
        <w:t xml:space="preserve">Zakres stosowania </w:t>
      </w:r>
      <w:proofErr w:type="spellStart"/>
      <w:r w:rsidRPr="000D0E32">
        <w:t>STWiORB</w:t>
      </w:r>
      <w:proofErr w:type="spellEnd"/>
    </w:p>
    <w:p w14:paraId="55294422" w14:textId="77777777" w:rsidR="00B71BA1" w:rsidRDefault="00B71BA1" w:rsidP="00B71BA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0D0E32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0D0E32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2B27B0AF" w14:textId="77777777" w:rsidR="00B71BA1" w:rsidRDefault="00B71BA1" w:rsidP="00B71BA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CB1E55E" w14:textId="77777777" w:rsidR="00B71BA1" w:rsidRDefault="00B71BA1" w:rsidP="00B71BA1">
      <w:pPr>
        <w:pStyle w:val="Nagwek2"/>
      </w:pPr>
      <w:r>
        <w:t xml:space="preserve">1.3. Zakres robót objętych SST </w:t>
      </w:r>
    </w:p>
    <w:p w14:paraId="3FB91F0A" w14:textId="77777777" w:rsidR="00B71BA1" w:rsidRDefault="00B71BA1" w:rsidP="00B71BA1">
      <w:pPr>
        <w:ind w:left="-15" w:firstLine="708"/>
      </w:pPr>
      <w:r>
        <w:t xml:space="preserve">Ustalenia zawarte w niniejszej specyfikacji dotyczą zasad prowadzenia robót związanych z wykonaniem i odbiorem przypowierzchniowej regulacji pionowej włazów i kratek kanalizacji (sanitarnej, teletechnicznej) oraz osłon zasuw sieci wodociągowej/gazowej. </w:t>
      </w:r>
    </w:p>
    <w:p w14:paraId="3BE89EF2" w14:textId="77777777" w:rsidR="00B71BA1" w:rsidRDefault="00B71BA1" w:rsidP="00B71BA1">
      <w:pPr>
        <w:pStyle w:val="Nagwek2"/>
        <w:ind w:left="-5"/>
      </w:pPr>
      <w:r>
        <w:t xml:space="preserve">1.4. Określenia podstawowe </w:t>
      </w:r>
    </w:p>
    <w:p w14:paraId="66267B5C" w14:textId="77777777" w:rsidR="00B71BA1" w:rsidRDefault="00B71BA1" w:rsidP="00B71BA1">
      <w:pPr>
        <w:ind w:left="837" w:hanging="852"/>
      </w:pPr>
      <w:r>
        <w:rPr>
          <w:rFonts w:ascii="Verdana" w:eastAsia="Verdana" w:hAnsi="Verdana" w:cs="Verdana"/>
          <w:b/>
        </w:rPr>
        <w:t xml:space="preserve">1.4.1.  </w:t>
      </w:r>
      <w:r>
        <w:t xml:space="preserve">Studnia kablowa - pomieszczenia podziemne wbudowane między ciągi kanalizacji kablowej w celu umożliwienia wciągania, montażu i konserwacji kabli. </w:t>
      </w:r>
    </w:p>
    <w:p w14:paraId="6D576344" w14:textId="77777777" w:rsidR="00B71BA1" w:rsidRDefault="00B71BA1" w:rsidP="00B71BA1">
      <w:pPr>
        <w:ind w:left="837" w:hanging="852"/>
      </w:pPr>
      <w:r>
        <w:rPr>
          <w:rFonts w:ascii="Verdana" w:eastAsia="Verdana" w:hAnsi="Verdana" w:cs="Verdana"/>
          <w:b/>
        </w:rPr>
        <w:t xml:space="preserve">1.4.2.  </w:t>
      </w:r>
      <w:r>
        <w:t xml:space="preserve">Studnia kablowa magistralna - studnia kablowa wbudowana między ciągi kanalizacji magistralnej. </w:t>
      </w:r>
    </w:p>
    <w:p w14:paraId="4C8828A7" w14:textId="77777777" w:rsidR="00B71BA1" w:rsidRDefault="00B71BA1" w:rsidP="00B71BA1">
      <w:pPr>
        <w:ind w:left="837" w:hanging="852"/>
      </w:pPr>
      <w:r>
        <w:rPr>
          <w:rFonts w:ascii="Verdana" w:eastAsia="Verdana" w:hAnsi="Verdana" w:cs="Verdana"/>
          <w:b/>
        </w:rPr>
        <w:t xml:space="preserve">1.4.3.  </w:t>
      </w:r>
      <w:r>
        <w:t xml:space="preserve">Studnia kablowa rozdzielcza - studnia kablowa wbudowana między ciągi kanalizacji rozdzielczej. </w:t>
      </w:r>
    </w:p>
    <w:p w14:paraId="1E8C7FBD" w14:textId="77777777" w:rsidR="00B71BA1" w:rsidRDefault="00B71BA1" w:rsidP="00B71BA1">
      <w:pPr>
        <w:ind w:left="837" w:hanging="852"/>
      </w:pPr>
      <w:r>
        <w:rPr>
          <w:rFonts w:ascii="Verdana" w:eastAsia="Verdana" w:hAnsi="Verdana" w:cs="Verdana"/>
          <w:b/>
        </w:rPr>
        <w:t xml:space="preserve">1.4.4.  </w:t>
      </w:r>
      <w:r>
        <w:t xml:space="preserve">Studnia kablowa szafkowa - studnia kablowa przed szafką lub rozdzielnicą kablową. </w:t>
      </w:r>
    </w:p>
    <w:p w14:paraId="0F0D2CD0" w14:textId="77777777" w:rsidR="00B71BA1" w:rsidRDefault="00B71BA1" w:rsidP="00B71BA1">
      <w:pPr>
        <w:spacing w:line="241" w:lineRule="auto"/>
        <w:ind w:left="847" w:right="-12" w:hanging="862"/>
        <w:jc w:val="left"/>
      </w:pPr>
      <w:r>
        <w:rPr>
          <w:rFonts w:ascii="Verdana" w:eastAsia="Verdana" w:hAnsi="Verdana" w:cs="Verdana"/>
          <w:b/>
        </w:rPr>
        <w:t xml:space="preserve">1.4.5.  </w:t>
      </w:r>
      <w:r>
        <w:t xml:space="preserve">Wpust uliczny (wpust ściekowy, studzienka ściekowa) - urządzenie do przejęcia wód opadowych z powierzchni i odprowadzenia poprzez </w:t>
      </w:r>
      <w:proofErr w:type="spellStart"/>
      <w:r>
        <w:t>przykanalik</w:t>
      </w:r>
      <w:proofErr w:type="spellEnd"/>
      <w:r>
        <w:t xml:space="preserve"> do kanalizacji deszczowej lub ogólnospławnej. </w:t>
      </w:r>
    </w:p>
    <w:p w14:paraId="077CCF0E" w14:textId="77777777" w:rsidR="00B71BA1" w:rsidRDefault="00B71BA1" w:rsidP="00B71BA1">
      <w:pPr>
        <w:ind w:left="837" w:hanging="852"/>
      </w:pPr>
      <w:r>
        <w:rPr>
          <w:rFonts w:ascii="Verdana" w:eastAsia="Verdana" w:hAnsi="Verdana" w:cs="Verdana"/>
          <w:b/>
        </w:rPr>
        <w:t xml:space="preserve">1.4.6.  </w:t>
      </w:r>
      <w:r>
        <w:t xml:space="preserve">Właz studzienki - element żeliwny przeznaczony do przykrycia podziemnych studzienek rewizyjnych, umożliwiający dostęp do urządzeń kanalizacyjnych. </w:t>
      </w:r>
    </w:p>
    <w:p w14:paraId="5A1FF4FF" w14:textId="77777777" w:rsidR="00B71BA1" w:rsidRDefault="00B71BA1" w:rsidP="00B71BA1">
      <w:pPr>
        <w:ind w:left="837" w:hanging="852"/>
      </w:pPr>
      <w:r>
        <w:rPr>
          <w:rFonts w:ascii="Verdana" w:eastAsia="Verdana" w:hAnsi="Verdana" w:cs="Verdana"/>
          <w:b/>
        </w:rPr>
        <w:t xml:space="preserve">1.4.7.  </w:t>
      </w:r>
      <w:r>
        <w:t xml:space="preserve">Kratka ściekowa - urządzenie, przez które wody opadowe przedostają się od góry do wpustu ulicznego. </w:t>
      </w:r>
    </w:p>
    <w:p w14:paraId="1706BB39" w14:textId="77777777" w:rsidR="00B71BA1" w:rsidRDefault="00B71BA1" w:rsidP="00B71BA1">
      <w:pPr>
        <w:ind w:left="837" w:hanging="852"/>
      </w:pPr>
      <w:r>
        <w:rPr>
          <w:rFonts w:ascii="Verdana" w:eastAsia="Verdana" w:hAnsi="Verdana" w:cs="Verdana"/>
          <w:b/>
        </w:rPr>
        <w:t xml:space="preserve">1.4.8.  </w:t>
      </w:r>
      <w:r>
        <w:t xml:space="preserve">Pozostałe określenia podstawowe są zgodne z obowiązującymi, odpowiednimi polskimi normami i z definicjami podanymi w SST D-M-00.00.00 „Wymagania ogólne” [1] pkt 1.4. </w:t>
      </w:r>
    </w:p>
    <w:p w14:paraId="7849325A" w14:textId="77777777" w:rsidR="00B71BA1" w:rsidRDefault="00B71BA1" w:rsidP="00B71BA1">
      <w:pPr>
        <w:pStyle w:val="Nagwek2"/>
        <w:ind w:left="-5"/>
      </w:pPr>
      <w:r>
        <w:t xml:space="preserve">1.5. Ogólne wymagania dotyczące robót </w:t>
      </w:r>
    </w:p>
    <w:p w14:paraId="2B1D8CD3" w14:textId="77777777" w:rsidR="00B71BA1" w:rsidRDefault="00B71BA1" w:rsidP="00B71BA1">
      <w:pPr>
        <w:ind w:left="-5"/>
      </w:pPr>
      <w:r>
        <w:t xml:space="preserve">Ogólne wymagania dotyczące robót podano w SST D-M-00.00.00 „Wymagania ogólne” [1] pkt 1.5. </w:t>
      </w:r>
    </w:p>
    <w:p w14:paraId="27B0444F" w14:textId="77777777" w:rsidR="00B71BA1" w:rsidRDefault="00B71BA1" w:rsidP="00B71BA1">
      <w:pPr>
        <w:pStyle w:val="Nagwek1"/>
        <w:ind w:left="-5"/>
      </w:pPr>
      <w:r>
        <w:t xml:space="preserve">2. MATERIAŁY </w:t>
      </w:r>
    </w:p>
    <w:p w14:paraId="30395362" w14:textId="77777777" w:rsidR="00B71BA1" w:rsidRDefault="00B71BA1" w:rsidP="00B71BA1">
      <w:pPr>
        <w:pStyle w:val="Nagwek2"/>
        <w:ind w:left="-5"/>
      </w:pPr>
      <w:r>
        <w:t xml:space="preserve">2.1. Ogólne wymagania dotyczące materiałów </w:t>
      </w:r>
    </w:p>
    <w:p w14:paraId="2240916C" w14:textId="77777777" w:rsidR="00B71BA1" w:rsidRDefault="00B71BA1" w:rsidP="00B71BA1">
      <w:pPr>
        <w:ind w:left="-5"/>
      </w:pPr>
      <w:r>
        <w:t xml:space="preserve">Ogólne wymagania dotyczące materiałów, ich pozyskiwania i składowania, podano w SST D-M-00.00.00 „Wymagania ogólne” [1] pkt 2. </w:t>
      </w:r>
    </w:p>
    <w:p w14:paraId="2217A644" w14:textId="77777777" w:rsidR="00B71BA1" w:rsidRDefault="00B71BA1" w:rsidP="00B71BA1">
      <w:pPr>
        <w:pStyle w:val="Nagwek2"/>
        <w:rPr>
          <w:rFonts w:eastAsia="Verdana"/>
        </w:rPr>
      </w:pPr>
      <w:r>
        <w:rPr>
          <w:rFonts w:eastAsia="Verdana"/>
        </w:rPr>
        <w:t xml:space="preserve">2.2. Materiały do wykonania regulacji pionowej studzienek i kratek </w:t>
      </w:r>
    </w:p>
    <w:p w14:paraId="005243DE" w14:textId="77777777" w:rsidR="00B71BA1" w:rsidRDefault="00B71BA1" w:rsidP="00B71BA1">
      <w:r>
        <w:t xml:space="preserve">Do przypowierzchniowej regulacji  studzienek i kratek  należy użyć: </w:t>
      </w:r>
    </w:p>
    <w:p w14:paraId="6F0241DC" w14:textId="77777777" w:rsidR="00B71BA1" w:rsidRDefault="00B71BA1" w:rsidP="00B71BA1">
      <w:pPr>
        <w:pStyle w:val="Nagwek8"/>
      </w:pPr>
      <w:r>
        <w:t xml:space="preserve">materiały otrzymane z rozbiórki studzienki oraz z rozbiórki otaczającej nawierzchni, nadające się do ponownego wbudowania, </w:t>
      </w:r>
    </w:p>
    <w:p w14:paraId="44A58730" w14:textId="77777777" w:rsidR="00B71BA1" w:rsidRDefault="00B71BA1" w:rsidP="00B71BA1">
      <w:pPr>
        <w:pStyle w:val="Nagwek8"/>
      </w:pPr>
      <w:r>
        <w:t xml:space="preserve">materiały nowe, odpowiadające wymaganiom: </w:t>
      </w:r>
    </w:p>
    <w:p w14:paraId="1D4024D1" w14:textId="77777777" w:rsidR="00B71BA1" w:rsidRDefault="00B71BA1" w:rsidP="00B71BA1">
      <w:pPr>
        <w:pStyle w:val="Nagwek8"/>
        <w:numPr>
          <w:ilvl w:val="1"/>
          <w:numId w:val="1"/>
        </w:numPr>
        <w:tabs>
          <w:tab w:val="num" w:pos="360"/>
        </w:tabs>
      </w:pPr>
      <w:r>
        <w:t xml:space="preserve">dystansowe pierścienie betonowe z betonu klasy co najmniej C 30/37 </w:t>
      </w:r>
    </w:p>
    <w:p w14:paraId="40D11A60" w14:textId="77777777" w:rsidR="00B71BA1" w:rsidRDefault="00B71BA1" w:rsidP="00B71BA1">
      <w:pPr>
        <w:pStyle w:val="Nagwek8"/>
        <w:numPr>
          <w:ilvl w:val="1"/>
          <w:numId w:val="1"/>
        </w:numPr>
        <w:tabs>
          <w:tab w:val="num" w:pos="360"/>
        </w:tabs>
        <w:rPr>
          <w:rFonts w:ascii="Verdana" w:eastAsia="Verdana" w:hAnsi="Verdana" w:cs="Verdana"/>
          <w:b/>
        </w:rPr>
      </w:pPr>
      <w:r>
        <w:t xml:space="preserve">zaprawa cementowa M10 </w:t>
      </w:r>
      <w:r w:rsidRPr="003E470C">
        <w:rPr>
          <w:rFonts w:ascii="Verdana" w:eastAsia="Verdana" w:hAnsi="Verdana" w:cs="Verdana"/>
          <w:b/>
        </w:rPr>
        <w:t xml:space="preserve"> </w:t>
      </w:r>
    </w:p>
    <w:p w14:paraId="30EDB469" w14:textId="77777777" w:rsidR="00B71BA1" w:rsidRPr="005900A9" w:rsidRDefault="00B71BA1" w:rsidP="00B71BA1">
      <w:pPr>
        <w:pStyle w:val="Nagwek8"/>
        <w:numPr>
          <w:ilvl w:val="0"/>
          <w:numId w:val="0"/>
        </w:numPr>
        <w:ind w:left="1069" w:hanging="360"/>
        <w:rPr>
          <w:lang w:val="pl-PL"/>
        </w:rPr>
      </w:pPr>
      <w:r>
        <w:t>Beton należy dowieźć z betoniarni</w:t>
      </w:r>
      <w:r>
        <w:rPr>
          <w:lang w:val="pl-PL"/>
        </w:rPr>
        <w:t>, nie dopuszcza się wykonywania na miejscu.</w:t>
      </w:r>
    </w:p>
    <w:p w14:paraId="2A2EEA53" w14:textId="77777777" w:rsidR="00B71BA1" w:rsidRDefault="00B71BA1" w:rsidP="00B71BA1">
      <w:pPr>
        <w:pStyle w:val="Nagwek1"/>
      </w:pPr>
      <w:r>
        <w:t xml:space="preserve">3. SPRZĘT </w:t>
      </w:r>
    </w:p>
    <w:p w14:paraId="64E0453F" w14:textId="77777777" w:rsidR="00B71BA1" w:rsidRDefault="00B71BA1" w:rsidP="00B71BA1">
      <w:pPr>
        <w:pStyle w:val="Nagwek2"/>
        <w:ind w:left="-5"/>
      </w:pPr>
      <w:r>
        <w:t xml:space="preserve">3.1. Ogólne wymagania dotyczące sprzętu </w:t>
      </w:r>
    </w:p>
    <w:p w14:paraId="0ACD6C97" w14:textId="77777777" w:rsidR="00B71BA1" w:rsidRDefault="00B71BA1" w:rsidP="00B71BA1">
      <w:pPr>
        <w:ind w:left="-5"/>
      </w:pPr>
      <w:r>
        <w:t xml:space="preserve">Ogólne wymagania dotyczące sprzętu podano w SST D-M-00.00.00 „Wymagania ogólne” [1] pkt 3. </w:t>
      </w:r>
    </w:p>
    <w:p w14:paraId="05CB8326" w14:textId="77777777" w:rsidR="00B71BA1" w:rsidRDefault="00B71BA1" w:rsidP="00B71BA1">
      <w:pPr>
        <w:pStyle w:val="Nagwek2"/>
        <w:ind w:left="-5"/>
      </w:pPr>
      <w:r>
        <w:t xml:space="preserve">3.2. </w:t>
      </w:r>
      <w:r>
        <w:tab/>
        <w:t xml:space="preserve">Sprzęt </w:t>
      </w:r>
      <w:r>
        <w:tab/>
        <w:t xml:space="preserve">stosowany </w:t>
      </w:r>
      <w:r>
        <w:tab/>
        <w:t xml:space="preserve">do </w:t>
      </w:r>
      <w:r>
        <w:tab/>
        <w:t xml:space="preserve">wykonania </w:t>
      </w:r>
      <w:r>
        <w:tab/>
        <w:t xml:space="preserve">regulacji </w:t>
      </w:r>
      <w:r>
        <w:tab/>
        <w:t xml:space="preserve">pionowej </w:t>
      </w:r>
      <w:r>
        <w:tab/>
        <w:t xml:space="preserve">studzienek telekomunikacyjnej i kratek </w:t>
      </w:r>
    </w:p>
    <w:p w14:paraId="6B72F54F" w14:textId="77777777" w:rsidR="00B71BA1" w:rsidRDefault="00B71BA1" w:rsidP="00B71BA1">
      <w:r>
        <w:t xml:space="preserve">Wykonawca przystępujący do wykonania regulacji, powinien wykazać się możliwością korzystania z następującego sprzętu: </w:t>
      </w:r>
    </w:p>
    <w:p w14:paraId="3439D3DB" w14:textId="77777777" w:rsidR="00B71BA1" w:rsidRDefault="00B71BA1" w:rsidP="00B71BA1">
      <w:pPr>
        <w:pStyle w:val="Nagwek8"/>
      </w:pPr>
      <w:r>
        <w:t xml:space="preserve">piły tarczowej, </w:t>
      </w:r>
    </w:p>
    <w:p w14:paraId="298151A6" w14:textId="77777777" w:rsidR="00B71BA1" w:rsidRDefault="00B71BA1" w:rsidP="00B71BA1">
      <w:pPr>
        <w:pStyle w:val="Nagwek8"/>
      </w:pPr>
      <w:r>
        <w:t xml:space="preserve">młota udarowego, </w:t>
      </w:r>
    </w:p>
    <w:p w14:paraId="61262605" w14:textId="77777777" w:rsidR="00B71BA1" w:rsidRDefault="00B71BA1" w:rsidP="00B71BA1">
      <w:pPr>
        <w:pStyle w:val="Nagwek8"/>
      </w:pPr>
      <w:r>
        <w:t xml:space="preserve">sprężarki powietrza, </w:t>
      </w:r>
    </w:p>
    <w:p w14:paraId="0F8D6A0E" w14:textId="77777777" w:rsidR="00B71BA1" w:rsidRDefault="00B71BA1" w:rsidP="00B71BA1">
      <w:pPr>
        <w:pStyle w:val="Nagwek8"/>
      </w:pPr>
      <w:r>
        <w:t xml:space="preserve">dźwigu samochodowego, </w:t>
      </w:r>
    </w:p>
    <w:p w14:paraId="3F2A6591" w14:textId="77777777" w:rsidR="00B71BA1" w:rsidRDefault="00B71BA1" w:rsidP="00B71BA1">
      <w:pPr>
        <w:pStyle w:val="Nagwek8"/>
      </w:pPr>
      <w:r>
        <w:t xml:space="preserve">zagęszczarki wibracyjnej, </w:t>
      </w:r>
    </w:p>
    <w:p w14:paraId="58873448" w14:textId="77777777" w:rsidR="00B71BA1" w:rsidRDefault="00B71BA1" w:rsidP="00B71BA1">
      <w:pPr>
        <w:pStyle w:val="Nagwek8"/>
      </w:pPr>
      <w:r>
        <w:t xml:space="preserve">sprzętu pomocniczego (szczotka, łopata, szablon itp.). </w:t>
      </w:r>
    </w:p>
    <w:p w14:paraId="55ED885E" w14:textId="77777777" w:rsidR="00B71BA1" w:rsidRDefault="00B71BA1" w:rsidP="00B71BA1">
      <w:pPr>
        <w:pStyle w:val="Nagwek1"/>
        <w:ind w:left="-5"/>
      </w:pPr>
      <w:r>
        <w:lastRenderedPageBreak/>
        <w:t xml:space="preserve">4. TRANSPORT </w:t>
      </w:r>
    </w:p>
    <w:p w14:paraId="149572AA" w14:textId="77777777" w:rsidR="00B71BA1" w:rsidRDefault="00B71BA1" w:rsidP="00B71BA1">
      <w:pPr>
        <w:pStyle w:val="Nagwek2"/>
        <w:ind w:left="-5"/>
      </w:pPr>
      <w:r>
        <w:t xml:space="preserve">4.1. Ogólne wymagania dotyczące transportu </w:t>
      </w:r>
    </w:p>
    <w:p w14:paraId="445CA88B" w14:textId="77777777" w:rsidR="00B71BA1" w:rsidRDefault="00B71BA1" w:rsidP="00B71BA1">
      <w:pPr>
        <w:ind w:left="-5"/>
      </w:pPr>
      <w:r>
        <w:t xml:space="preserve">Ogólne wymagania dotyczące transportu podano w SST D-M-00.00.00 „Wymagania ogólne” [1] pkt 4. </w:t>
      </w:r>
    </w:p>
    <w:p w14:paraId="31BAAC98" w14:textId="77777777" w:rsidR="00B71BA1" w:rsidRDefault="00B71BA1" w:rsidP="00B71BA1">
      <w:pPr>
        <w:pStyle w:val="Nagwek2"/>
        <w:ind w:left="-5"/>
      </w:pPr>
      <w:r>
        <w:t xml:space="preserve">4.2 Transport dystansowych pierścieni betonowych </w:t>
      </w:r>
    </w:p>
    <w:p w14:paraId="617C23BA" w14:textId="77777777" w:rsidR="00B71BA1" w:rsidRDefault="00B71BA1" w:rsidP="00B71BA1">
      <w:r>
        <w:rPr>
          <w:rFonts w:ascii="Verdana" w:eastAsia="Verdana" w:hAnsi="Verdana" w:cs="Verdana"/>
          <w:b/>
        </w:rPr>
        <w:t xml:space="preserve"> </w:t>
      </w:r>
      <w:r>
        <w:t xml:space="preserve">Transport dystansowych pierścieni betonowych powinien odbywać się samochodami w pozycji wbudowania lub prostopadle do pozycji wbudowania. </w:t>
      </w:r>
    </w:p>
    <w:p w14:paraId="72736E9C" w14:textId="77777777" w:rsidR="00B71BA1" w:rsidRDefault="00B71BA1" w:rsidP="00B71BA1">
      <w:r>
        <w:t xml:space="preserve"> Dla zabezpieczenia przed uszkodzeniem przewożonych elementów, Wykonawca dokona ich usztywnienia przez zastosowanie przekładek, rozporów i klinów z drewna, gumy lub innych odpowiednich materiałów. </w:t>
      </w:r>
      <w:r>
        <w:tab/>
        <w:t xml:space="preserve"> </w:t>
      </w:r>
    </w:p>
    <w:p w14:paraId="516740EB" w14:textId="77777777" w:rsidR="00B71BA1" w:rsidRDefault="00B71BA1" w:rsidP="00B71BA1">
      <w:pPr>
        <w:pStyle w:val="Nagwek2"/>
        <w:ind w:left="-5"/>
      </w:pPr>
      <w:r>
        <w:t xml:space="preserve">4.3. Transport zaprawy cementowej </w:t>
      </w:r>
    </w:p>
    <w:p w14:paraId="01326718" w14:textId="77777777" w:rsidR="00B71BA1" w:rsidRDefault="00B71BA1" w:rsidP="00B71BA1">
      <w:r>
        <w:t xml:space="preserve"> Do przewozu zaprawy cementowej Wykonawca zapewni takie środki transportowe, które nie spowodują segregacji składników, zmiany składu mieszanki, zanieczyszczenia mieszanki i obniżenia temperatury przekraczającej granicę określoną w wymaganiach technologicznych. </w:t>
      </w:r>
    </w:p>
    <w:p w14:paraId="05A9B088" w14:textId="77777777" w:rsidR="00B71BA1" w:rsidRDefault="00B71BA1" w:rsidP="00B71BA1">
      <w:pPr>
        <w:pStyle w:val="Nagwek2"/>
        <w:ind w:left="-5"/>
      </w:pPr>
      <w:r>
        <w:t xml:space="preserve">4.4. Transport kruszyw </w:t>
      </w:r>
    </w:p>
    <w:p w14:paraId="59E5F659" w14:textId="77777777" w:rsidR="00B71BA1" w:rsidRDefault="00B71BA1" w:rsidP="00B71BA1">
      <w:pPr>
        <w:ind w:left="-5"/>
      </w:pPr>
      <w:r>
        <w:t xml:space="preserve"> </w:t>
      </w:r>
      <w:r w:rsidRPr="00F53839">
        <w:t>Kruszywa mogą być przewożone dowolnymi środkami transportu, w sposób zabezpieczający je przed zanieczyszczeniem i nadmiernym zawilgoceniem</w:t>
      </w:r>
      <w:r>
        <w:t xml:space="preserve">. </w:t>
      </w:r>
    </w:p>
    <w:p w14:paraId="6628885C" w14:textId="77777777" w:rsidR="00B71BA1" w:rsidRDefault="00B71BA1" w:rsidP="00B71BA1">
      <w:pPr>
        <w:pStyle w:val="Nagwek2"/>
      </w:pPr>
      <w:r>
        <w:rPr>
          <w:rFonts w:eastAsia="Verdana"/>
        </w:rPr>
        <w:t xml:space="preserve">4.5. Transport cementu i jego przechowywanie </w:t>
      </w:r>
    </w:p>
    <w:p w14:paraId="3C040BB6" w14:textId="77777777" w:rsidR="00B71BA1" w:rsidRDefault="00B71BA1" w:rsidP="00B71BA1">
      <w:r>
        <w:t xml:space="preserve"> Transport cementu i przechowywanie powinny być zgodne z BN-88/6731-08 [20]. </w:t>
      </w:r>
    </w:p>
    <w:p w14:paraId="02421A3D" w14:textId="77777777" w:rsidR="00B71BA1" w:rsidRDefault="00B71BA1" w:rsidP="00B71BA1">
      <w:pPr>
        <w:pStyle w:val="Nagwek1"/>
        <w:ind w:left="-5"/>
      </w:pPr>
      <w:r>
        <w:t xml:space="preserve">5. WYKONANIE ROBÓT </w:t>
      </w:r>
    </w:p>
    <w:p w14:paraId="3CF556D3" w14:textId="77777777" w:rsidR="00B71BA1" w:rsidRDefault="00B71BA1" w:rsidP="00B71BA1">
      <w:pPr>
        <w:pStyle w:val="Nagwek2"/>
        <w:ind w:left="-5"/>
      </w:pPr>
      <w:r>
        <w:t xml:space="preserve">5.1. Ogólne zasady wykonania robót </w:t>
      </w:r>
    </w:p>
    <w:p w14:paraId="2B10AD21" w14:textId="77777777" w:rsidR="00B71BA1" w:rsidRDefault="00B71BA1" w:rsidP="00B71BA1">
      <w:r>
        <w:t xml:space="preserve">Ogólne zasady wykonania robót podano w SST D-M-00.00.00 „Wymagania ogólne” [1] pkt 5. </w:t>
      </w:r>
    </w:p>
    <w:p w14:paraId="39CE989D" w14:textId="77777777" w:rsidR="00B71BA1" w:rsidRDefault="00B71BA1" w:rsidP="00B71BA1">
      <w:pPr>
        <w:pStyle w:val="Nagwek2"/>
        <w:ind w:left="-5"/>
      </w:pPr>
      <w:r>
        <w:t xml:space="preserve">5.2. Zasady wykonania naprawy </w:t>
      </w:r>
    </w:p>
    <w:p w14:paraId="45C19FC4" w14:textId="77777777" w:rsidR="00B71BA1" w:rsidRDefault="00B71BA1" w:rsidP="00B71BA1">
      <w:r>
        <w:t xml:space="preserve">Wykonanie przypowierzchniowej naprawy polegającej na regulacji pionowej studzienki, pod warunkiem zaakceptowania przez Inspektora Nadzoru, obejmuje: </w:t>
      </w:r>
    </w:p>
    <w:p w14:paraId="301B0F26" w14:textId="77777777" w:rsidR="00B71BA1" w:rsidRDefault="00B71BA1" w:rsidP="00B71BA1">
      <w:pPr>
        <w:pStyle w:val="Nagwek8"/>
      </w:pPr>
      <w:r>
        <w:t xml:space="preserve">zdjęcie przykrycia (pokrywy, włazu, kratki ściekowej, nasady z wlewem bocznym) urządzenia podziemnego, </w:t>
      </w:r>
    </w:p>
    <w:p w14:paraId="192102B1" w14:textId="77777777" w:rsidR="00B71BA1" w:rsidRDefault="00B71BA1" w:rsidP="00B71BA1">
      <w:pPr>
        <w:pStyle w:val="Nagwek8"/>
      </w:pPr>
      <w:r>
        <w:t xml:space="preserve">rozebranie nawierzchni wokół studzienki: </w:t>
      </w:r>
    </w:p>
    <w:p w14:paraId="22710AA2" w14:textId="77777777" w:rsidR="00B71BA1" w:rsidRDefault="00B71BA1" w:rsidP="00B71BA1">
      <w:pPr>
        <w:pStyle w:val="Nagwek8"/>
        <w:numPr>
          <w:ilvl w:val="1"/>
          <w:numId w:val="1"/>
        </w:numPr>
        <w:tabs>
          <w:tab w:val="num" w:pos="360"/>
        </w:tabs>
      </w:pPr>
      <w:r>
        <w:t xml:space="preserve">ręczne (dłutami, haczykami z drutu, młotkami brukarskimi, ew. drągami stalowymi itp. - w przypadku nawierzchni typu kostkowego), </w:t>
      </w:r>
    </w:p>
    <w:p w14:paraId="65B1A385" w14:textId="77777777" w:rsidR="00B71BA1" w:rsidRDefault="00B71BA1" w:rsidP="00B71BA1">
      <w:pPr>
        <w:pStyle w:val="Nagwek8"/>
        <w:numPr>
          <w:ilvl w:val="1"/>
          <w:numId w:val="1"/>
        </w:numPr>
        <w:tabs>
          <w:tab w:val="num" w:pos="360"/>
        </w:tabs>
      </w:pPr>
      <w:r>
        <w:t xml:space="preserve">mechaniczne (w przypadku nawierzchni typu monolitycznego, np. nawierzchni asfaltowej, betonowej) – z pionowym wycięciem krawędzi uszkodzenia piłą tarczową i rozebraniem konstrukcji jezdni przy pomocy młotów pneumatycznych, drągów stalowych itp., </w:t>
      </w:r>
    </w:p>
    <w:p w14:paraId="6ADB07C5" w14:textId="77777777" w:rsidR="00B71BA1" w:rsidRDefault="00B71BA1" w:rsidP="00B71BA1">
      <w:pPr>
        <w:pStyle w:val="Nagwek8"/>
      </w:pPr>
      <w:r>
        <w:t xml:space="preserve">demontaż górnej części studzienki (np. części żeliwnych, płyt żelbetowych pod studzienką, kręgów podporowych itp.), </w:t>
      </w:r>
    </w:p>
    <w:p w14:paraId="6FC60454" w14:textId="77777777" w:rsidR="00B71BA1" w:rsidRDefault="00B71BA1" w:rsidP="00B71BA1">
      <w:pPr>
        <w:pStyle w:val="Nagwek8"/>
      </w:pPr>
      <w:r>
        <w:t xml:space="preserve">zebranie i odwiezienie lub odrzucenie elementów nawierzchni i gruzu na pobocze, chodnik lub miejsce składowania, z posortowaniem i zabezpieczeniem materiału przydatnego do dalszych robót, </w:t>
      </w:r>
    </w:p>
    <w:p w14:paraId="1AA0FCC9" w14:textId="77777777" w:rsidR="00B71BA1" w:rsidRDefault="00B71BA1" w:rsidP="00B71BA1">
      <w:pPr>
        <w:pStyle w:val="Nagwek8"/>
      </w:pPr>
      <w:r>
        <w:t xml:space="preserve">rozpoznanie przyczyn uszkodzenia i podjęcie końcowej decyzji o sposobie naprawy  i wykorzystaniu istniejących materiałów, </w:t>
      </w:r>
    </w:p>
    <w:p w14:paraId="2D0E5EA6" w14:textId="77777777" w:rsidR="00B71BA1" w:rsidRDefault="00B71BA1" w:rsidP="00B71BA1">
      <w:pPr>
        <w:pStyle w:val="Nagwek8"/>
      </w:pPr>
      <w:r>
        <w:t xml:space="preserve">ułożenie pierścieni dystansowych na zaprawie cementowej wraz z ich odpowiednim wypoziomowaniem, według wymiarów dostosowanych do poziomu remontowanej nawierzchni, </w:t>
      </w:r>
    </w:p>
    <w:p w14:paraId="1B51BF8D" w14:textId="77777777" w:rsidR="00B71BA1" w:rsidRDefault="00B71BA1" w:rsidP="00B71BA1">
      <w:pPr>
        <w:pStyle w:val="Nagwek8"/>
      </w:pPr>
      <w:r>
        <w:t xml:space="preserve">osadzenie przykrycia studzienki lub kratki ściekowej z wykorzystaniem istniejących materiałów oraz ew. wyrównaniem zaprawą cementową. </w:t>
      </w:r>
    </w:p>
    <w:p w14:paraId="2A2E555F" w14:textId="77777777" w:rsidR="00B71BA1" w:rsidRDefault="00B71BA1" w:rsidP="00B71BA1">
      <w:r w:rsidRPr="009A196C">
        <w:t xml:space="preserve">W przypadku znacznych zapadnięć studzienki, wynikających z uszkodzeń (zniszczeń) korpusu studzienki, kanałów, </w:t>
      </w:r>
      <w:proofErr w:type="spellStart"/>
      <w:r w:rsidRPr="009A196C">
        <w:t>przykanalików</w:t>
      </w:r>
      <w:proofErr w:type="spellEnd"/>
      <w:r w:rsidRPr="009A196C">
        <w:t xml:space="preserve">, elementów dennych, wymycia gruntu itp. - sposób naprawy należy określić indywidualnie i wykonać ją według osobno opracowanej specyfikacji technicznej. </w:t>
      </w:r>
    </w:p>
    <w:p w14:paraId="4E8DEC7C" w14:textId="77777777" w:rsidR="00B71BA1" w:rsidRDefault="00B71BA1" w:rsidP="00B71BA1">
      <w:pPr>
        <w:pStyle w:val="Nagwek1"/>
        <w:ind w:left="-5"/>
      </w:pPr>
      <w:r>
        <w:t xml:space="preserve">6. KONTROLA JAKOŚCI ROBÓT </w:t>
      </w:r>
    </w:p>
    <w:p w14:paraId="35B63C1F" w14:textId="77777777" w:rsidR="00B71BA1" w:rsidRDefault="00B71BA1" w:rsidP="00B71BA1">
      <w:pPr>
        <w:pStyle w:val="Nagwek2"/>
        <w:ind w:left="-5"/>
      </w:pPr>
      <w:r>
        <w:t xml:space="preserve">6.1. Ogólne zasady kontroli jakości robót </w:t>
      </w:r>
    </w:p>
    <w:p w14:paraId="2B2D3A65" w14:textId="77777777" w:rsidR="00B71BA1" w:rsidRDefault="00B71BA1" w:rsidP="00B71BA1">
      <w:pPr>
        <w:ind w:left="-5"/>
      </w:pPr>
      <w:r>
        <w:t xml:space="preserve">Ogólne zasady kontroli jakości robót podano w SST D-M-00.00.00 „Wymagania ogólne” [1] pkt 6. </w:t>
      </w:r>
    </w:p>
    <w:p w14:paraId="0125F2F6" w14:textId="77777777" w:rsidR="00B71BA1" w:rsidRDefault="00B71BA1" w:rsidP="00B71BA1">
      <w:pPr>
        <w:pStyle w:val="Nagwek2"/>
        <w:rPr>
          <w:rFonts w:eastAsia="Verdana"/>
        </w:rPr>
      </w:pPr>
      <w:r>
        <w:rPr>
          <w:rFonts w:eastAsia="Verdana"/>
        </w:rPr>
        <w:t xml:space="preserve">6.2. Badania przed przystąpieniem do robót </w:t>
      </w:r>
    </w:p>
    <w:p w14:paraId="27E678AC" w14:textId="77777777" w:rsidR="00B71BA1" w:rsidRDefault="00B71BA1" w:rsidP="00B71BA1">
      <w:r>
        <w:t xml:space="preserve">Przed przystąpieniem do robót Wykonawca powinien: </w:t>
      </w:r>
    </w:p>
    <w:p w14:paraId="4FB025E4" w14:textId="77777777" w:rsidR="00B71BA1" w:rsidRDefault="00B71BA1" w:rsidP="00B71BA1">
      <w:pPr>
        <w:pStyle w:val="Nagwek8"/>
      </w:pPr>
      <w:r>
        <w:t xml:space="preserve">uzyskać wymagane dokumenty, dopuszczające wyroby budowlane do obrotu  i powszechnego stosowania (certyfikaty na znak bezpieczeństwa, aprobaty techniczne, certyfikaty zgodności, deklaracje zgodności, ew. badania materiałów wykonane przez dostawców itp.), </w:t>
      </w:r>
    </w:p>
    <w:p w14:paraId="33AA8524" w14:textId="77777777" w:rsidR="00B71BA1" w:rsidRDefault="00B71BA1" w:rsidP="00B71BA1">
      <w:pPr>
        <w:pStyle w:val="Nagwek8"/>
      </w:pPr>
      <w:r>
        <w:t xml:space="preserve">sprawdzić cechy zewnętrzne gotowych materiałów z tworzyw i prefabrykowanych. Wszystkie dokumenty oraz wyniki badań Wykonawca przedstawia do akceptacji Inspektorowi Nadzoru. </w:t>
      </w:r>
    </w:p>
    <w:p w14:paraId="2FC2880D" w14:textId="77777777" w:rsidR="00B71BA1" w:rsidRDefault="00B71BA1" w:rsidP="00B71BA1">
      <w:pPr>
        <w:pStyle w:val="Nagwek2"/>
        <w:ind w:left="-5"/>
      </w:pPr>
      <w:r>
        <w:t xml:space="preserve">6.3. Badania wykonanych robót </w:t>
      </w:r>
    </w:p>
    <w:p w14:paraId="54EA299F" w14:textId="77777777" w:rsidR="00B71BA1" w:rsidRDefault="00B71BA1" w:rsidP="00B71BA1">
      <w:r>
        <w:t xml:space="preserve">Po zakończeniu robót należy sprawdzić wizualnie: </w:t>
      </w:r>
    </w:p>
    <w:p w14:paraId="364B9CDE" w14:textId="77777777" w:rsidR="00B71BA1" w:rsidRDefault="00B71BA1" w:rsidP="00B71BA1">
      <w:pPr>
        <w:pStyle w:val="Nagwek8"/>
      </w:pPr>
      <w:r>
        <w:t xml:space="preserve">wygląd zewnętrzny wykonanej pionizacji w zakresie wyglądu, kształtu, wymiarów – </w:t>
      </w:r>
    </w:p>
    <w:p w14:paraId="0DCDBDE7" w14:textId="77777777" w:rsidR="00B71BA1" w:rsidRDefault="00B71BA1" w:rsidP="00B71BA1">
      <w:pPr>
        <w:pStyle w:val="Nagwek8"/>
      </w:pPr>
      <w:r>
        <w:lastRenderedPageBreak/>
        <w:t xml:space="preserve">poprawność profilu podłużnego i poprzecznego, nawiązującego do otaczającej nawierzchni. Szczegółowe wymagania dotyczące równości podłużnej oraz poprzecznej należy przyjąć wg odpowiedniej szczegółowej specyfikacji technicznej dla warstwy  na poziomie której zamontowano właz (kratkę ściekową). </w:t>
      </w:r>
    </w:p>
    <w:p w14:paraId="28FB04CF" w14:textId="77777777" w:rsidR="00B71BA1" w:rsidRDefault="00B71BA1" w:rsidP="00B71BA1">
      <w:pPr>
        <w:pStyle w:val="Nagwek1"/>
        <w:ind w:left="-5"/>
      </w:pPr>
      <w:r>
        <w:t xml:space="preserve">7. OBMIAR ROBÓT </w:t>
      </w:r>
    </w:p>
    <w:p w14:paraId="40F45463" w14:textId="77777777" w:rsidR="00B71BA1" w:rsidRDefault="00B71BA1" w:rsidP="00B71BA1">
      <w:pPr>
        <w:pStyle w:val="Nagwek2"/>
      </w:pPr>
      <w:r>
        <w:rPr>
          <w:rFonts w:eastAsia="Verdana"/>
        </w:rPr>
        <w:t xml:space="preserve">7.1. Ogólne zasady obmiaru robót </w:t>
      </w:r>
    </w:p>
    <w:p w14:paraId="785635F9" w14:textId="77777777" w:rsidR="00B71BA1" w:rsidRDefault="00B71BA1" w:rsidP="00B71BA1">
      <w:r>
        <w:t xml:space="preserve">Ogólne zasady obmiaru robót podano w SST D-M-00.00.00 „Wymagania ogólne” [1] pkt 7. </w:t>
      </w:r>
    </w:p>
    <w:p w14:paraId="1E6193C2" w14:textId="77777777" w:rsidR="00B71BA1" w:rsidRDefault="00B71BA1" w:rsidP="00B71BA1">
      <w:pPr>
        <w:pStyle w:val="Nagwek2"/>
      </w:pPr>
      <w:r>
        <w:rPr>
          <w:rFonts w:eastAsia="Verdana"/>
        </w:rPr>
        <w:t xml:space="preserve">7.2. Jednostka obmiarowa </w:t>
      </w:r>
    </w:p>
    <w:p w14:paraId="206E4E86" w14:textId="77777777" w:rsidR="00B71BA1" w:rsidRDefault="00B71BA1" w:rsidP="00B71BA1">
      <w:r>
        <w:t xml:space="preserve">Jednostką obmiarową jest 1 sztuka wykonanej regulacji urządzeń obcych. </w:t>
      </w:r>
    </w:p>
    <w:p w14:paraId="42C72460" w14:textId="77777777" w:rsidR="00B71BA1" w:rsidRDefault="00B71BA1" w:rsidP="00B71BA1">
      <w:pPr>
        <w:pStyle w:val="Nagwek1"/>
        <w:ind w:left="-5"/>
      </w:pPr>
      <w:r>
        <w:t xml:space="preserve">8. ODBIÓR ROBÓT </w:t>
      </w:r>
    </w:p>
    <w:p w14:paraId="6CCB4B77" w14:textId="77777777" w:rsidR="00B71BA1" w:rsidRDefault="00B71BA1" w:rsidP="00B71BA1">
      <w:pPr>
        <w:pStyle w:val="Nagwek2"/>
        <w:ind w:left="-5"/>
      </w:pPr>
      <w:r>
        <w:t xml:space="preserve">8.1. Ogólne zasady odbioru robót </w:t>
      </w:r>
    </w:p>
    <w:p w14:paraId="4E1B1734" w14:textId="77777777" w:rsidR="00B71BA1" w:rsidRDefault="00B71BA1" w:rsidP="00B71BA1">
      <w:r>
        <w:t xml:space="preserve">Ogólne zasady odbioru robót podano w SST D-M-00.00.00 „Wymagania ogólne” [1] pkt 8. </w:t>
      </w:r>
    </w:p>
    <w:p w14:paraId="00561337" w14:textId="77777777" w:rsidR="00B71BA1" w:rsidRDefault="00B71BA1" w:rsidP="00B71BA1">
      <w:pPr>
        <w:ind w:left="-5"/>
      </w:pPr>
      <w:r>
        <w:t xml:space="preserve">Roboty uznaje się za wykonane zgodnie z SST i wymaganiami Inspektora, jeżeli wszystkie pomiary i badania z zachowaniem tolerancji dały wyniki pozytywne. </w:t>
      </w:r>
    </w:p>
    <w:p w14:paraId="012BD8FC" w14:textId="77777777" w:rsidR="00B71BA1" w:rsidRDefault="00B71BA1" w:rsidP="00B71BA1">
      <w:pPr>
        <w:pStyle w:val="Nagwek2"/>
        <w:rPr>
          <w:rFonts w:eastAsia="Verdana"/>
        </w:rPr>
      </w:pPr>
      <w:r>
        <w:rPr>
          <w:rFonts w:eastAsia="Verdana"/>
        </w:rPr>
        <w:t xml:space="preserve">8.2. Odbiór robót zanikających i ulegających zakryciu </w:t>
      </w:r>
    </w:p>
    <w:p w14:paraId="0A2FF147" w14:textId="77777777" w:rsidR="00B71BA1" w:rsidRDefault="00B71BA1" w:rsidP="00B71BA1">
      <w:r>
        <w:t xml:space="preserve">Odbiorowi robót zanikających i ulegających zakryciu podlegają: - roboty rozbiórkowe, </w:t>
      </w:r>
    </w:p>
    <w:p w14:paraId="6C47D558" w14:textId="77777777" w:rsidR="00B71BA1" w:rsidRDefault="00B71BA1" w:rsidP="00B71BA1">
      <w:pPr>
        <w:pStyle w:val="Nagwek8"/>
      </w:pPr>
      <w:r>
        <w:t xml:space="preserve">regulacja studzienki, kratki. </w:t>
      </w:r>
    </w:p>
    <w:p w14:paraId="1AD077FF" w14:textId="77777777" w:rsidR="00B71BA1" w:rsidRDefault="00B71BA1" w:rsidP="00B71BA1">
      <w:pPr>
        <w:ind w:left="-5"/>
      </w:pPr>
      <w:r>
        <w:t xml:space="preserve">Odbiór tych robót powinien być zgodny z wymaganiami </w:t>
      </w:r>
      <w:proofErr w:type="spellStart"/>
      <w:r>
        <w:t>pktu</w:t>
      </w:r>
      <w:proofErr w:type="spellEnd"/>
      <w:r>
        <w:t xml:space="preserve"> 8.2 D-M-00.00.00 „Wymagania ogólne” [1] oraz niniejszej SST. </w:t>
      </w:r>
    </w:p>
    <w:p w14:paraId="4A98422F" w14:textId="77777777" w:rsidR="00B71BA1" w:rsidRDefault="00B71BA1" w:rsidP="00B71BA1">
      <w:pPr>
        <w:pStyle w:val="Nagwek1"/>
        <w:ind w:left="-5"/>
      </w:pPr>
      <w:r>
        <w:t xml:space="preserve">9. PODSTAWA PŁATNOŚCI </w:t>
      </w:r>
    </w:p>
    <w:p w14:paraId="4E2FE907" w14:textId="77777777" w:rsidR="00B71BA1" w:rsidRDefault="00B71BA1" w:rsidP="00B71BA1">
      <w:pPr>
        <w:pStyle w:val="Nagwek2"/>
        <w:ind w:left="-5"/>
      </w:pPr>
      <w:r>
        <w:t xml:space="preserve">9.1. Ogólne ustalenia dotyczące podstawy płatności </w:t>
      </w:r>
    </w:p>
    <w:p w14:paraId="1F0B9739" w14:textId="77777777" w:rsidR="00B71BA1" w:rsidRDefault="00B71BA1" w:rsidP="00B71BA1">
      <w:r>
        <w:t xml:space="preserve">Ogólne ustalenia dotyczące podstawy płatności podano w SST D-M-00.00.00 [1] „Wymagania ogólne” pkt 9. </w:t>
      </w:r>
    </w:p>
    <w:p w14:paraId="1AB52BD8" w14:textId="77777777" w:rsidR="00B71BA1" w:rsidRDefault="00B71BA1" w:rsidP="00B71BA1">
      <w:pPr>
        <w:pStyle w:val="Nagwek2"/>
        <w:ind w:left="-5"/>
      </w:pPr>
      <w:r>
        <w:t xml:space="preserve">9.2. Cena jednostki obmiarowej </w:t>
      </w:r>
    </w:p>
    <w:p w14:paraId="335FB18C" w14:textId="77777777" w:rsidR="00B71BA1" w:rsidRDefault="00B71BA1" w:rsidP="00B71BA1">
      <w:r>
        <w:t xml:space="preserve">Cena wykonania regulacji urządzeń obcych obejmuje: </w:t>
      </w:r>
    </w:p>
    <w:p w14:paraId="792B048C" w14:textId="77777777" w:rsidR="00B71BA1" w:rsidRDefault="00B71BA1" w:rsidP="00B71BA1">
      <w:pPr>
        <w:pStyle w:val="Nagwek8"/>
      </w:pPr>
      <w:r>
        <w:t xml:space="preserve">prace pomiarowe i roboty przygotowawcze, </w:t>
      </w:r>
    </w:p>
    <w:p w14:paraId="025A7403" w14:textId="77777777" w:rsidR="00B71BA1" w:rsidRDefault="00B71BA1" w:rsidP="00B71BA1">
      <w:pPr>
        <w:pStyle w:val="Nagwek8"/>
      </w:pPr>
      <w:r>
        <w:t xml:space="preserve">oznakowanie robót, </w:t>
      </w:r>
    </w:p>
    <w:p w14:paraId="63214206" w14:textId="77777777" w:rsidR="00B71BA1" w:rsidRDefault="00B71BA1" w:rsidP="00B71BA1">
      <w:pPr>
        <w:pStyle w:val="Nagwek8"/>
      </w:pPr>
      <w:r>
        <w:t xml:space="preserve">roboty rozbiórkowe, </w:t>
      </w:r>
    </w:p>
    <w:p w14:paraId="0DEEBD19" w14:textId="77777777" w:rsidR="00B71BA1" w:rsidRDefault="00B71BA1" w:rsidP="00B71BA1">
      <w:pPr>
        <w:pStyle w:val="Nagwek8"/>
      </w:pPr>
      <w:r>
        <w:t xml:space="preserve">dostarczenie materiałów i sprzętu, </w:t>
      </w:r>
    </w:p>
    <w:p w14:paraId="1AD91531" w14:textId="77777777" w:rsidR="00B71BA1" w:rsidRDefault="00B71BA1" w:rsidP="00B71BA1">
      <w:pPr>
        <w:pStyle w:val="Nagwek8"/>
      </w:pPr>
      <w:r>
        <w:t xml:space="preserve">wykonanie regulacji studzienki, kratki, </w:t>
      </w:r>
    </w:p>
    <w:p w14:paraId="150EB99E" w14:textId="77777777" w:rsidR="00B71BA1" w:rsidRDefault="00B71BA1" w:rsidP="00B71BA1">
      <w:pPr>
        <w:pStyle w:val="Nagwek8"/>
      </w:pPr>
      <w:r>
        <w:t xml:space="preserve">odwiezienie nieprzydatnych materiałów rozbiórkowych na składowisko, </w:t>
      </w:r>
    </w:p>
    <w:p w14:paraId="70F39A71" w14:textId="77777777" w:rsidR="00B71BA1" w:rsidRDefault="00B71BA1" w:rsidP="00B71BA1">
      <w:pPr>
        <w:pStyle w:val="Nagwek8"/>
      </w:pPr>
      <w:r>
        <w:t xml:space="preserve">przeprowadzenie pomiarów i badań wymaganych w niniejszej specyfikacji technicznej, - odwiezienie sprzętu. </w:t>
      </w:r>
    </w:p>
    <w:p w14:paraId="4C78DC28" w14:textId="77777777" w:rsidR="00B71BA1" w:rsidRDefault="00B71BA1" w:rsidP="00B71BA1">
      <w:pPr>
        <w:pStyle w:val="Nagwek1"/>
      </w:pPr>
      <w:r>
        <w:t xml:space="preserve">10. PRZEPISY ZWIĄZANE </w:t>
      </w:r>
    </w:p>
    <w:p w14:paraId="53A2D527" w14:textId="77777777" w:rsidR="00B71BA1" w:rsidRDefault="00B71BA1" w:rsidP="00B71BA1">
      <w:pPr>
        <w:pStyle w:val="Tytu"/>
        <w:numPr>
          <w:ilvl w:val="0"/>
          <w:numId w:val="3"/>
        </w:numPr>
      </w:pPr>
      <w:r>
        <w:t xml:space="preserve">D-M-00.00.00 Wymagania ogólne. </w:t>
      </w:r>
    </w:p>
    <w:p w14:paraId="28D82537" w14:textId="77777777" w:rsidR="00B71BA1" w:rsidRDefault="00B71BA1" w:rsidP="00B71BA1">
      <w:pPr>
        <w:pStyle w:val="Tytu"/>
        <w:ind w:left="360"/>
      </w:pPr>
      <w:r>
        <w:t xml:space="preserve">BN-88/6731-08 Cement. Transport i przechowywanie. </w:t>
      </w:r>
    </w:p>
    <w:p w14:paraId="071885FA" w14:textId="77777777" w:rsidR="00B71BA1" w:rsidRDefault="00B71BA1" w:rsidP="00B71BA1">
      <w:pPr>
        <w:pStyle w:val="Tytu"/>
        <w:ind w:left="360"/>
      </w:pPr>
      <w:r>
        <w:t xml:space="preserve">PN-EN 124:2000 Zwieńczenia wpustów i studzienek kanalizacyjnych do nawierzchni dla ruchu pieszego i kołowego. Zasady konstrukcji, badania typu, znakowanie, sterowanie jakością. </w:t>
      </w:r>
    </w:p>
    <w:p w14:paraId="52D876E0" w14:textId="77777777" w:rsidR="00B71BA1" w:rsidRDefault="00B71BA1" w:rsidP="00B71BA1">
      <w:pPr>
        <w:pStyle w:val="Tytu"/>
        <w:ind w:left="360"/>
      </w:pPr>
      <w:r>
        <w:t xml:space="preserve">PN-EN 197-1:2012 Cement. Część 1: Skład, wymagania i kryteria zgodności dotyczące cementów powszechnego użytku. </w:t>
      </w:r>
    </w:p>
    <w:p w14:paraId="55554BE9" w14:textId="77777777" w:rsidR="00B71BA1" w:rsidRDefault="00B71BA1" w:rsidP="00B71BA1">
      <w:pPr>
        <w:pStyle w:val="Tytu"/>
        <w:ind w:left="360"/>
      </w:pPr>
      <w:r>
        <w:t xml:space="preserve">Ustawa z dnia 16 kwietnia 2004 r. o wyrobach budowlanych ( Dz. U. nr 92, poz. 881). </w:t>
      </w:r>
    </w:p>
    <w:p w14:paraId="444E0FFF" w14:textId="77777777" w:rsidR="00B71BA1" w:rsidRDefault="00B71BA1" w:rsidP="00B71BA1">
      <w:pPr>
        <w:pStyle w:val="Tytu"/>
        <w:ind w:left="360"/>
      </w:pPr>
      <w:r>
        <w:t xml:space="preserve">Rozporządzenie Ministra Infrastruktury z dn. 11 sierpnia 2004 r. w sprawie sposobów deklarowania zgodności wyrobów budowlanych oraz sposobu znakowania ich znakiem budowlanym (Dz. U. nr 198, poz. 2041) </w:t>
      </w:r>
    </w:p>
    <w:p w14:paraId="01C88820" w14:textId="77777777" w:rsidR="00B71BA1" w:rsidRDefault="00B71BA1" w:rsidP="00B71BA1">
      <w:pPr>
        <w:pStyle w:val="Tytu"/>
        <w:ind w:left="360"/>
      </w:pPr>
      <w:r>
        <w:t xml:space="preserve">Rozporządzenie Ministra Infrastruktury z dn. 08 listopada 2004 r. w sprawie aprobat technicznych oraz jednostek organizacyjnych upoważnionych do ich wydawania (Dz. </w:t>
      </w:r>
    </w:p>
    <w:p w14:paraId="051AE8FA" w14:textId="77777777" w:rsidR="00B71BA1" w:rsidRPr="000D0E32" w:rsidRDefault="00B71BA1" w:rsidP="00B71BA1">
      <w:pPr>
        <w:pStyle w:val="Tytu"/>
        <w:ind w:left="360"/>
        <w:rPr>
          <w:rFonts w:eastAsia="Calibri" w:cs="Arial"/>
          <w:spacing w:val="-3"/>
          <w:szCs w:val="22"/>
          <w:lang w:eastAsia="en-US"/>
        </w:rPr>
      </w:pPr>
      <w:r>
        <w:t xml:space="preserve">U. nr 249, poz. 2497) </w:t>
      </w:r>
    </w:p>
    <w:p w14:paraId="4B144763" w14:textId="77777777" w:rsidR="00F84D53" w:rsidRDefault="00F84D53" w:rsidP="00B71BA1">
      <w:pPr>
        <w:pStyle w:val="NAZWASST"/>
      </w:pPr>
    </w:p>
    <w:sectPr w:rsidR="00F84D53" w:rsidSect="00B71BA1">
      <w:headerReference w:type="default" r:id="rId7"/>
      <w:footerReference w:type="even" r:id="rId8"/>
      <w:footerReference w:type="default" r:id="rId9"/>
      <w:type w:val="oddPage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D423D" w14:textId="77777777" w:rsidR="00314DDE" w:rsidRDefault="00314DDE" w:rsidP="00B71BA1">
      <w:r>
        <w:separator/>
      </w:r>
    </w:p>
  </w:endnote>
  <w:endnote w:type="continuationSeparator" w:id="0">
    <w:p w14:paraId="5AC077D8" w14:textId="77777777" w:rsidR="00314DDE" w:rsidRDefault="00314DDE" w:rsidP="00B71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3FE3" w14:textId="77777777" w:rsidR="00524F4E" w:rsidRDefault="00314DDE">
    <w:pPr>
      <w:pStyle w:val="Stopka"/>
      <w:ind w:right="360"/>
    </w:pPr>
  </w:p>
  <w:p w14:paraId="007EE80C" w14:textId="77777777" w:rsidR="00524F4E" w:rsidRDefault="00314D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6C297" w14:textId="77777777" w:rsidR="00524F4E" w:rsidRDefault="00314DDE" w:rsidP="001E638A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124</w:t>
    </w:r>
    <w:r>
      <w:fldChar w:fldCharType="end"/>
    </w:r>
  </w:p>
  <w:p w14:paraId="0413F676" w14:textId="77777777" w:rsidR="00524F4E" w:rsidRDefault="00314D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760CC" w14:textId="77777777" w:rsidR="00314DDE" w:rsidRDefault="00314DDE" w:rsidP="00B71BA1">
      <w:r>
        <w:separator/>
      </w:r>
    </w:p>
  </w:footnote>
  <w:footnote w:type="continuationSeparator" w:id="0">
    <w:p w14:paraId="1515EABF" w14:textId="77777777" w:rsidR="00314DDE" w:rsidRDefault="00314DDE" w:rsidP="00B71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B6CA" w14:textId="77777777" w:rsidR="00524F4E" w:rsidRDefault="00314D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BA1"/>
    <w:rsid w:val="00314DDE"/>
    <w:rsid w:val="00B71BA1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43DB"/>
  <w15:chartTrackingRefBased/>
  <w15:docId w15:val="{9CE4C66D-4687-4DF3-B86E-7741CEB0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BA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B71BA1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B71BA1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B71BA1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B71BA1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B71BA1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B71BA1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B71BA1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B71BA1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B71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71BA1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B71BA1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B71BA1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B71BA1"/>
  </w:style>
  <w:style w:type="paragraph" w:customStyle="1" w:styleId="NAZWASST">
    <w:name w:val="NAZWA SST"/>
    <w:uiPriority w:val="1"/>
    <w:qFormat/>
    <w:rsid w:val="00B71B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B71BA1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B71B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B71BA1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1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1BA1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1387</Words>
  <Characters>8328</Characters>
  <Application>Microsoft Office Word</Application>
  <DocSecurity>0</DocSecurity>
  <Lines>69</Lines>
  <Paragraphs>19</Paragraphs>
  <ScaleCrop>false</ScaleCrop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2021-09-08T06:52:00Z</dcterms:created>
  <dcterms:modified xsi:type="dcterms:W3CDTF">2021-09-08T06:53:00Z</dcterms:modified>
</cp:coreProperties>
</file>